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9BF6" w14:textId="0033919A" w:rsidR="003C5FF1" w:rsidRPr="000A7225" w:rsidRDefault="00691128" w:rsidP="00A734EE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0A7225">
        <w:rPr>
          <w:rFonts w:ascii="Gill Sans MT" w:hAnsi="Gill Sans MT"/>
          <w:b/>
          <w:bCs/>
          <w:sz w:val="22"/>
          <w:szCs w:val="22"/>
        </w:rPr>
        <w:t>APPENDIX “F”</w:t>
      </w:r>
    </w:p>
    <w:p w14:paraId="0F22922C" w14:textId="5FD32E47" w:rsidR="003C5FF1" w:rsidRPr="000A7225" w:rsidRDefault="003C5FF1" w:rsidP="003C5FF1">
      <w:pPr>
        <w:keepNext/>
        <w:jc w:val="center"/>
        <w:outlineLvl w:val="0"/>
        <w:rPr>
          <w:rFonts w:ascii="Gill Sans MT" w:hAnsi="Gill Sans MT"/>
          <w:b/>
          <w:bCs/>
          <w:sz w:val="22"/>
          <w:szCs w:val="22"/>
        </w:rPr>
      </w:pPr>
      <w:r w:rsidRPr="000A7225">
        <w:rPr>
          <w:rFonts w:ascii="Gill Sans MT" w:hAnsi="Gill Sans MT"/>
          <w:b/>
          <w:bCs/>
          <w:sz w:val="22"/>
          <w:szCs w:val="22"/>
        </w:rPr>
        <w:t>DEFAULT SUPPLIER</w:t>
      </w:r>
      <w:r w:rsidR="00691128" w:rsidRPr="000A7225">
        <w:rPr>
          <w:rFonts w:ascii="Gill Sans MT" w:hAnsi="Gill Sans MT"/>
          <w:b/>
          <w:bCs/>
          <w:sz w:val="22"/>
          <w:szCs w:val="22"/>
        </w:rPr>
        <w:t xml:space="preserve"> – RATE SCHEDULE</w:t>
      </w:r>
      <w:r w:rsidR="00691128" w:rsidRPr="000A7225">
        <w:rPr>
          <w:rFonts w:ascii="Gill Sans MT" w:hAnsi="Gill Sans MT"/>
          <w:b/>
          <w:bCs/>
          <w:sz w:val="22"/>
          <w:szCs w:val="22"/>
        </w:rPr>
        <w:footnoteReference w:id="1"/>
      </w:r>
    </w:p>
    <w:p w14:paraId="3C4E6B1D" w14:textId="01B6CB79" w:rsidR="003C5FF1" w:rsidRPr="000A7225" w:rsidRDefault="003C5FF1" w:rsidP="003C5FF1">
      <w:pPr>
        <w:keepNext/>
        <w:jc w:val="center"/>
        <w:outlineLvl w:val="0"/>
        <w:rPr>
          <w:rFonts w:ascii="Gill Sans MT" w:hAnsi="Gill Sans MT"/>
          <w:sz w:val="22"/>
          <w:szCs w:val="22"/>
        </w:rPr>
      </w:pPr>
    </w:p>
    <w:p w14:paraId="27701C2A" w14:textId="77777777" w:rsidR="003C5FF1" w:rsidRPr="000A7225" w:rsidRDefault="003C5FF1" w:rsidP="003C5FF1">
      <w:pPr>
        <w:jc w:val="center"/>
        <w:rPr>
          <w:rFonts w:ascii="Gill Sans MT" w:hAnsi="Gill Sans MT"/>
          <w:sz w:val="22"/>
          <w:szCs w:val="22"/>
        </w:rPr>
      </w:pPr>
    </w:p>
    <w:p w14:paraId="12F54EED" w14:textId="42EDD54D" w:rsidR="003C5FF1" w:rsidRPr="000A7225" w:rsidRDefault="003C5FF1" w:rsidP="003C5FF1">
      <w:pPr>
        <w:rPr>
          <w:rFonts w:ascii="Gill Sans MT" w:hAnsi="Gill Sans MT"/>
          <w:sz w:val="22"/>
          <w:szCs w:val="22"/>
        </w:rPr>
      </w:pPr>
      <w:r w:rsidRPr="000A7225">
        <w:rPr>
          <w:rFonts w:ascii="Gill Sans MT" w:hAnsi="Gill Sans MT"/>
          <w:sz w:val="22"/>
          <w:szCs w:val="22"/>
        </w:rPr>
        <w:t xml:space="preserve">As The City of Red Deer’s Default Supplier, ENMAX Energy Corporation Default Supplier Rate Schedule for The City of Red Deer as of June 1, </w:t>
      </w:r>
      <w:proofErr w:type="gramStart"/>
      <w:r w:rsidR="008429D1" w:rsidRPr="000A7225">
        <w:rPr>
          <w:rFonts w:ascii="Gill Sans MT" w:hAnsi="Gill Sans MT"/>
          <w:sz w:val="22"/>
          <w:szCs w:val="22"/>
        </w:rPr>
        <w:t>202</w:t>
      </w:r>
      <w:r w:rsidR="008429D1">
        <w:rPr>
          <w:rFonts w:ascii="Gill Sans MT" w:hAnsi="Gill Sans MT"/>
          <w:sz w:val="22"/>
          <w:szCs w:val="22"/>
        </w:rPr>
        <w:t>5</w:t>
      </w:r>
      <w:proofErr w:type="gramEnd"/>
      <w:r w:rsidR="008429D1" w:rsidRPr="000A7225">
        <w:rPr>
          <w:rFonts w:ascii="Gill Sans MT" w:hAnsi="Gill Sans MT"/>
          <w:sz w:val="22"/>
          <w:szCs w:val="22"/>
        </w:rPr>
        <w:t xml:space="preserve"> </w:t>
      </w:r>
      <w:r w:rsidRPr="000A7225">
        <w:rPr>
          <w:rFonts w:ascii="Gill Sans MT" w:hAnsi="Gill Sans MT"/>
          <w:sz w:val="22"/>
          <w:szCs w:val="22"/>
        </w:rPr>
        <w:t xml:space="preserve">is linked below. The City of Red Deer acknowledges and agrees that </w:t>
      </w:r>
      <w:proofErr w:type="spellStart"/>
      <w:r w:rsidRPr="000A7225">
        <w:rPr>
          <w:rFonts w:ascii="Gill Sans MT" w:hAnsi="Gill Sans MT"/>
          <w:sz w:val="22"/>
          <w:szCs w:val="22"/>
        </w:rPr>
        <w:t>Enmax’s</w:t>
      </w:r>
      <w:proofErr w:type="spellEnd"/>
      <w:r w:rsidRPr="000A7225">
        <w:rPr>
          <w:rFonts w:ascii="Gill Sans MT" w:hAnsi="Gill Sans MT"/>
          <w:sz w:val="22"/>
          <w:szCs w:val="22"/>
        </w:rPr>
        <w:t xml:space="preserve"> Default Supplier Rate Schedule for The City of Red Deer may be revised from time to time in accordance with the </w:t>
      </w:r>
      <w:r w:rsidRPr="000A7225">
        <w:rPr>
          <w:rFonts w:ascii="Gill Sans MT" w:hAnsi="Gill Sans MT"/>
          <w:i/>
          <w:iCs/>
          <w:sz w:val="22"/>
          <w:szCs w:val="22"/>
        </w:rPr>
        <w:t>Electric Utilities Act</w:t>
      </w:r>
      <w:r w:rsidRPr="000A7225">
        <w:rPr>
          <w:rFonts w:ascii="Gill Sans MT" w:hAnsi="Gill Sans MT"/>
          <w:sz w:val="22"/>
          <w:szCs w:val="22"/>
        </w:rPr>
        <w:t xml:space="preserve"> (Alberta) and the Regulations thereunder.</w:t>
      </w:r>
    </w:p>
    <w:p w14:paraId="619B3BF5" w14:textId="3AA13246" w:rsidR="00EB4578" w:rsidRDefault="00EB4578" w:rsidP="003C5FF1">
      <w:pPr>
        <w:rPr>
          <w:rFonts w:ascii="Gill Sans MT" w:hAnsi="Gill Sans MT"/>
          <w:sz w:val="22"/>
          <w:szCs w:val="22"/>
        </w:rPr>
      </w:pPr>
    </w:p>
    <w:p w14:paraId="1B3CF220" w14:textId="77777777" w:rsidR="00EB4578" w:rsidRDefault="00EB4578" w:rsidP="003C5FF1">
      <w:pPr>
        <w:rPr>
          <w:rFonts w:ascii="Gill Sans MT" w:hAnsi="Gill Sans MT"/>
          <w:sz w:val="22"/>
          <w:szCs w:val="22"/>
        </w:rPr>
      </w:pPr>
    </w:p>
    <w:p w14:paraId="68D103CD" w14:textId="77777777" w:rsidR="00EB4578" w:rsidRPr="00220BCC" w:rsidRDefault="00EB4578" w:rsidP="00EB4578">
      <w:pPr>
        <w:rPr>
          <w:rFonts w:ascii="Gill Sans MT" w:hAnsi="Gill Sans MT"/>
          <w:szCs w:val="24"/>
        </w:rPr>
      </w:pPr>
      <w:hyperlink r:id="rId7" w:anchor="d.en.9921" w:history="1">
        <w:r w:rsidRPr="00003EAA">
          <w:rPr>
            <w:rStyle w:val="Hyperlink"/>
            <w:rFonts w:ascii="Gill Sans MT" w:hAnsi="Gill Sans MT"/>
            <w:szCs w:val="24"/>
          </w:rPr>
          <w:t>//reddeer.ca/city-services/electric-light-and-power/understanding-your-electricity-bill-and-meter/delivery-rates-and-charges/#d.en.9921</w:t>
        </w:r>
      </w:hyperlink>
      <w:r>
        <w:rPr>
          <w:rFonts w:ascii="Gill Sans MT" w:hAnsi="Gill Sans MT"/>
          <w:szCs w:val="24"/>
        </w:rPr>
        <w:t xml:space="preserve"> </w:t>
      </w:r>
    </w:p>
    <w:p w14:paraId="4234A222" w14:textId="77777777" w:rsidR="00EB4578" w:rsidRDefault="00EB4578" w:rsidP="003C5FF1">
      <w:pPr>
        <w:rPr>
          <w:rFonts w:ascii="Gill Sans MT" w:hAnsi="Gill Sans MT"/>
          <w:sz w:val="22"/>
          <w:szCs w:val="22"/>
        </w:rPr>
      </w:pPr>
    </w:p>
    <w:p w14:paraId="6BA8D418" w14:textId="77777777" w:rsidR="00EB4578" w:rsidRDefault="00EB4578" w:rsidP="003C5FF1">
      <w:pPr>
        <w:rPr>
          <w:rFonts w:ascii="Gill Sans MT" w:hAnsi="Gill Sans MT"/>
          <w:sz w:val="22"/>
          <w:szCs w:val="22"/>
        </w:rPr>
      </w:pPr>
    </w:p>
    <w:p w14:paraId="1F30C1F0" w14:textId="77777777" w:rsidR="006A0683" w:rsidRPr="000A7225" w:rsidRDefault="006A0683" w:rsidP="003C5FF1">
      <w:pPr>
        <w:rPr>
          <w:rFonts w:ascii="Gill Sans MT" w:hAnsi="Gill Sans MT"/>
          <w:sz w:val="22"/>
          <w:szCs w:val="22"/>
        </w:rPr>
      </w:pPr>
    </w:p>
    <w:p w14:paraId="00494336" w14:textId="77777777" w:rsidR="005A2EBB" w:rsidRPr="00506A02" w:rsidRDefault="005A2EBB" w:rsidP="00506A02">
      <w:pPr>
        <w:rPr>
          <w:rFonts w:ascii="Times New Roman" w:hAnsi="Times New Roman"/>
          <w:szCs w:val="24"/>
        </w:rPr>
      </w:pPr>
    </w:p>
    <w:sectPr w:rsidR="005A2EBB" w:rsidRPr="00506A02" w:rsidSect="00607347">
      <w:headerReference w:type="default" r:id="rId8"/>
      <w:footerReference w:type="default" r:id="rId9"/>
      <w:footnotePr>
        <w:numRestart w:val="eachPage"/>
      </w:footnotePr>
      <w:pgSz w:w="12240" w:h="15840" w:code="1"/>
      <w:pgMar w:top="1440" w:right="1440" w:bottom="1440" w:left="1440" w:header="144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4973" w14:textId="77777777" w:rsidR="00326F0D" w:rsidRDefault="00326F0D">
      <w:r>
        <w:separator/>
      </w:r>
    </w:p>
  </w:endnote>
  <w:endnote w:type="continuationSeparator" w:id="0">
    <w:p w14:paraId="2D6C33EB" w14:textId="77777777" w:rsidR="00326F0D" w:rsidRDefault="003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E73" w14:textId="1DCE8739" w:rsidR="00EE4FF5" w:rsidRPr="006015B4" w:rsidRDefault="00607347" w:rsidP="0060734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Gill Sans MT" w:hAnsi="Gill Sans MT"/>
        <w:sz w:val="22"/>
        <w:szCs w:val="22"/>
      </w:rPr>
    </w:pPr>
    <w:r w:rsidRPr="006015B4">
      <w:rPr>
        <w:rFonts w:ascii="Gill Sans MT" w:hAnsi="Gill Sans MT"/>
        <w:sz w:val="22"/>
        <w:szCs w:val="22"/>
      </w:rPr>
      <w:t>The City of Red Deer</w:t>
    </w:r>
    <w:r w:rsidRPr="006015B4">
      <w:rPr>
        <w:rFonts w:ascii="Gill Sans MT" w:hAnsi="Gill Sans MT"/>
        <w:sz w:val="22"/>
        <w:szCs w:val="22"/>
      </w:rPr>
      <w:tab/>
      <w:t xml:space="preserve">Default Supplier-Rate Schedule </w:t>
    </w:r>
    <w:r w:rsidRPr="006015B4">
      <w:rPr>
        <w:rFonts w:ascii="Gill Sans MT" w:hAnsi="Gill Sans MT"/>
        <w:sz w:val="22"/>
        <w:szCs w:val="22"/>
      </w:rPr>
      <w:tab/>
      <w:t xml:space="preserve">Effective </w:t>
    </w:r>
    <w:r w:rsidR="001F7C30">
      <w:rPr>
        <w:rFonts w:ascii="Gill Sans MT" w:hAnsi="Gill Sans MT"/>
        <w:sz w:val="22"/>
        <w:szCs w:val="22"/>
      </w:rPr>
      <w:t>January 27,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D0DD" w14:textId="77777777" w:rsidR="00326F0D" w:rsidRDefault="00326F0D">
      <w:r>
        <w:separator/>
      </w:r>
    </w:p>
  </w:footnote>
  <w:footnote w:type="continuationSeparator" w:id="0">
    <w:p w14:paraId="2AF723E9" w14:textId="77777777" w:rsidR="00326F0D" w:rsidRDefault="00326F0D">
      <w:r>
        <w:continuationSeparator/>
      </w:r>
    </w:p>
  </w:footnote>
  <w:footnote w:id="1">
    <w:p w14:paraId="43A336B4" w14:textId="0D9D283D" w:rsidR="00691128" w:rsidRPr="000662A7" w:rsidRDefault="00691128" w:rsidP="00691128">
      <w:pPr>
        <w:pStyle w:val="FootnoteText"/>
        <w:rPr>
          <w:rFonts w:ascii="Gill Sans MT" w:hAnsi="Gill Sans MT" w:cs="Arial"/>
          <w:sz w:val="22"/>
          <w:szCs w:val="22"/>
        </w:rPr>
      </w:pPr>
      <w:r w:rsidRPr="000662A7">
        <w:rPr>
          <w:rStyle w:val="FootnoteReference"/>
          <w:rFonts w:ascii="Gill Sans MT" w:hAnsi="Gill Sans MT" w:cs="Arial"/>
          <w:sz w:val="22"/>
          <w:szCs w:val="22"/>
          <w:vertAlign w:val="superscript"/>
        </w:rPr>
        <w:footnoteRef/>
      </w:r>
      <w:r w:rsidRPr="000662A7">
        <w:rPr>
          <w:rFonts w:ascii="Gill Sans MT" w:hAnsi="Gill Sans MT" w:cs="Arial"/>
          <w:sz w:val="22"/>
          <w:szCs w:val="22"/>
        </w:rPr>
        <w:t xml:space="preserve"> 3273/B-2012, 3273/B-2018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CC3A" w14:textId="77777777" w:rsidR="00506A02" w:rsidRPr="006015B4" w:rsidRDefault="00506A02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Gill Sans MT" w:hAnsi="Gill Sans MT"/>
        <w:b/>
        <w:i/>
        <w:szCs w:val="24"/>
      </w:rPr>
    </w:pPr>
    <w:r w:rsidRPr="006015B4">
      <w:rPr>
        <w:rFonts w:ascii="Gill Sans MT" w:hAnsi="Gill Sans MT"/>
        <w:b/>
        <w:i/>
        <w:szCs w:val="24"/>
      </w:rPr>
      <w:t>APPENDIX “F”</w:t>
    </w:r>
  </w:p>
  <w:p w14:paraId="01349994" w14:textId="77777777" w:rsidR="00506A02" w:rsidRPr="006015B4" w:rsidRDefault="00506A02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Gill Sans MT" w:hAnsi="Gill Sans MT"/>
        <w:szCs w:val="24"/>
      </w:rPr>
    </w:pPr>
    <w:r w:rsidRPr="006015B4">
      <w:rPr>
        <w:rFonts w:ascii="Gill Sans MT" w:hAnsi="Gill Sans MT"/>
        <w:szCs w:val="24"/>
      </w:rPr>
      <w:t>Bylaw 3273/</w:t>
    </w:r>
    <w:r w:rsidR="00716B96" w:rsidRPr="006015B4">
      <w:rPr>
        <w:rFonts w:ascii="Gill Sans MT" w:hAnsi="Gill Sans MT"/>
        <w:szCs w:val="24"/>
      </w:rPr>
      <w:t>B</w:t>
    </w:r>
    <w:r w:rsidR="00D601B8" w:rsidRPr="006015B4">
      <w:rPr>
        <w:rFonts w:ascii="Gill Sans MT" w:hAnsi="Gill Sans MT"/>
        <w:szCs w:val="24"/>
      </w:rPr>
      <w:t>-</w:t>
    </w:r>
    <w:r w:rsidRPr="006015B4">
      <w:rPr>
        <w:rFonts w:ascii="Gill Sans MT" w:hAnsi="Gill Sans MT"/>
        <w:szCs w:val="24"/>
      </w:rPr>
      <w:t>20</w:t>
    </w:r>
    <w:r w:rsidR="00D601B8" w:rsidRPr="006015B4">
      <w:rPr>
        <w:rFonts w:ascii="Gill Sans MT" w:hAnsi="Gill Sans MT"/>
        <w:szCs w:val="24"/>
      </w:rPr>
      <w:t>12</w:t>
    </w:r>
  </w:p>
  <w:p w14:paraId="59F46156" w14:textId="77777777" w:rsidR="00506A02" w:rsidRPr="006015B4" w:rsidRDefault="00506A02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Gill Sans MT" w:hAnsi="Gill Sans MT"/>
        <w:snapToGrid w:val="0"/>
        <w:szCs w:val="24"/>
      </w:rPr>
    </w:pPr>
    <w:r w:rsidRPr="006015B4">
      <w:rPr>
        <w:rFonts w:ascii="Gill Sans MT" w:hAnsi="Gill Sans MT"/>
        <w:snapToGrid w:val="0"/>
        <w:szCs w:val="24"/>
      </w:rPr>
      <w:t xml:space="preserve">Page </w:t>
    </w:r>
    <w:r w:rsidRPr="006015B4">
      <w:rPr>
        <w:rFonts w:ascii="Gill Sans MT" w:hAnsi="Gill Sans MT"/>
        <w:snapToGrid w:val="0"/>
        <w:szCs w:val="24"/>
      </w:rPr>
      <w:fldChar w:fldCharType="begin"/>
    </w:r>
    <w:r w:rsidRPr="006015B4">
      <w:rPr>
        <w:rFonts w:ascii="Gill Sans MT" w:hAnsi="Gill Sans MT"/>
        <w:snapToGrid w:val="0"/>
        <w:szCs w:val="24"/>
      </w:rPr>
      <w:instrText xml:space="preserve"> PAGE </w:instrText>
    </w:r>
    <w:r w:rsidRPr="006015B4">
      <w:rPr>
        <w:rFonts w:ascii="Gill Sans MT" w:hAnsi="Gill Sans MT"/>
        <w:snapToGrid w:val="0"/>
        <w:szCs w:val="24"/>
      </w:rPr>
      <w:fldChar w:fldCharType="separate"/>
    </w:r>
    <w:r w:rsidR="00A43AB9" w:rsidRPr="006015B4">
      <w:rPr>
        <w:rFonts w:ascii="Gill Sans MT" w:hAnsi="Gill Sans MT"/>
        <w:noProof/>
        <w:snapToGrid w:val="0"/>
        <w:szCs w:val="24"/>
      </w:rPr>
      <w:t>1</w:t>
    </w:r>
    <w:r w:rsidRPr="006015B4">
      <w:rPr>
        <w:rFonts w:ascii="Gill Sans MT" w:hAnsi="Gill Sans MT"/>
        <w:snapToGrid w:val="0"/>
        <w:szCs w:val="24"/>
      </w:rPr>
      <w:fldChar w:fldCharType="end"/>
    </w:r>
    <w:r w:rsidRPr="006015B4">
      <w:rPr>
        <w:rFonts w:ascii="Gill Sans MT" w:hAnsi="Gill Sans MT"/>
        <w:snapToGrid w:val="0"/>
        <w:szCs w:val="24"/>
      </w:rPr>
      <w:t xml:space="preserve"> of 1</w:t>
    </w:r>
  </w:p>
  <w:p w14:paraId="0F46FE48" w14:textId="77777777" w:rsidR="00506A02" w:rsidRDefault="00506A02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D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7967B3"/>
    <w:multiLevelType w:val="singleLevel"/>
    <w:tmpl w:val="FFB677B6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D78622E"/>
    <w:multiLevelType w:val="singleLevel"/>
    <w:tmpl w:val="72640A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DE734E"/>
    <w:multiLevelType w:val="singleLevel"/>
    <w:tmpl w:val="76EC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C15F72"/>
    <w:multiLevelType w:val="singleLevel"/>
    <w:tmpl w:val="E1F8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26C63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2C2650"/>
    <w:multiLevelType w:val="singleLevel"/>
    <w:tmpl w:val="F40AB4DC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C834FCA"/>
    <w:multiLevelType w:val="singleLevel"/>
    <w:tmpl w:val="72640A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9C12D8"/>
    <w:multiLevelType w:val="singleLevel"/>
    <w:tmpl w:val="72640A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E62E95"/>
    <w:multiLevelType w:val="singleLevel"/>
    <w:tmpl w:val="A9E4418A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2667AEB"/>
    <w:multiLevelType w:val="singleLevel"/>
    <w:tmpl w:val="70ACF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036214"/>
    <w:multiLevelType w:val="singleLevel"/>
    <w:tmpl w:val="B42C9F76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12" w15:restartNumberingAfterBreak="0">
    <w:nsid w:val="5476759B"/>
    <w:multiLevelType w:val="singleLevel"/>
    <w:tmpl w:val="3CB67906"/>
    <w:lvl w:ilvl="0">
      <w:start w:val="1"/>
      <w:numFmt w:val="decimal"/>
      <w:lvlText w:val="(%1)"/>
      <w:legacy w:legacy="1" w:legacySpace="0" w:legacyIndent="1080"/>
      <w:lvlJc w:val="left"/>
      <w:pPr>
        <w:ind w:left="1800" w:hanging="1080"/>
      </w:pPr>
    </w:lvl>
  </w:abstractNum>
  <w:abstractNum w:abstractNumId="13" w15:restartNumberingAfterBreak="0">
    <w:nsid w:val="59EE3765"/>
    <w:multiLevelType w:val="singleLevel"/>
    <w:tmpl w:val="72640A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AA667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C92A07"/>
    <w:multiLevelType w:val="singleLevel"/>
    <w:tmpl w:val="0B76EC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67A32D1A"/>
    <w:multiLevelType w:val="singleLevel"/>
    <w:tmpl w:val="F40AB4DC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733576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1D092D"/>
    <w:multiLevelType w:val="singleLevel"/>
    <w:tmpl w:val="77DA7DC4"/>
    <w:lvl w:ilvl="0">
      <w:start w:val="1"/>
      <w:numFmt w:val="decimal"/>
      <w:lvlText w:val="(%1)"/>
      <w:legacy w:legacy="1" w:legacySpace="0" w:legacyIndent="375"/>
      <w:lvlJc w:val="left"/>
      <w:pPr>
        <w:ind w:left="375" w:hanging="375"/>
      </w:pPr>
    </w:lvl>
  </w:abstractNum>
  <w:num w:numId="1" w16cid:durableId="1567760144">
    <w:abstractNumId w:val="16"/>
  </w:num>
  <w:num w:numId="2" w16cid:durableId="1362902207">
    <w:abstractNumId w:val="18"/>
  </w:num>
  <w:num w:numId="3" w16cid:durableId="951594907">
    <w:abstractNumId w:val="6"/>
  </w:num>
  <w:num w:numId="4" w16cid:durableId="69623784">
    <w:abstractNumId w:val="12"/>
  </w:num>
  <w:num w:numId="5" w16cid:durableId="297077524">
    <w:abstractNumId w:val="8"/>
  </w:num>
  <w:num w:numId="6" w16cid:durableId="846019593">
    <w:abstractNumId w:val="15"/>
  </w:num>
  <w:num w:numId="7" w16cid:durableId="1505630588">
    <w:abstractNumId w:val="1"/>
  </w:num>
  <w:num w:numId="8" w16cid:durableId="1582250011">
    <w:abstractNumId w:val="5"/>
  </w:num>
  <w:num w:numId="9" w16cid:durableId="838890925">
    <w:abstractNumId w:val="3"/>
  </w:num>
  <w:num w:numId="10" w16cid:durableId="917977140">
    <w:abstractNumId w:val="0"/>
  </w:num>
  <w:num w:numId="11" w16cid:durableId="1569421597">
    <w:abstractNumId w:val="14"/>
  </w:num>
  <w:num w:numId="12" w16cid:durableId="753167016">
    <w:abstractNumId w:val="17"/>
  </w:num>
  <w:num w:numId="13" w16cid:durableId="1982726842">
    <w:abstractNumId w:val="9"/>
  </w:num>
  <w:num w:numId="14" w16cid:durableId="1406412867">
    <w:abstractNumId w:val="10"/>
  </w:num>
  <w:num w:numId="15" w16cid:durableId="1014267539">
    <w:abstractNumId w:val="4"/>
  </w:num>
  <w:num w:numId="16" w16cid:durableId="504707528">
    <w:abstractNumId w:val="11"/>
  </w:num>
  <w:num w:numId="17" w16cid:durableId="1823887857">
    <w:abstractNumId w:val="7"/>
  </w:num>
  <w:num w:numId="18" w16cid:durableId="1187255628">
    <w:abstractNumId w:val="2"/>
  </w:num>
  <w:num w:numId="19" w16cid:durableId="940524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BB"/>
    <w:rsid w:val="000A7225"/>
    <w:rsid w:val="000F0E58"/>
    <w:rsid w:val="00105DF8"/>
    <w:rsid w:val="001319F1"/>
    <w:rsid w:val="001707CD"/>
    <w:rsid w:val="001E0DC6"/>
    <w:rsid w:val="001F7C30"/>
    <w:rsid w:val="00214023"/>
    <w:rsid w:val="002716F6"/>
    <w:rsid w:val="002B4038"/>
    <w:rsid w:val="002B6D9A"/>
    <w:rsid w:val="00326F0D"/>
    <w:rsid w:val="003339EA"/>
    <w:rsid w:val="00381D6E"/>
    <w:rsid w:val="003C5FF1"/>
    <w:rsid w:val="003D1D79"/>
    <w:rsid w:val="00405881"/>
    <w:rsid w:val="00464945"/>
    <w:rsid w:val="004E1CE3"/>
    <w:rsid w:val="00506A02"/>
    <w:rsid w:val="0057235E"/>
    <w:rsid w:val="005A2EBB"/>
    <w:rsid w:val="005B7501"/>
    <w:rsid w:val="005D071E"/>
    <w:rsid w:val="006015B4"/>
    <w:rsid w:val="00607347"/>
    <w:rsid w:val="00615080"/>
    <w:rsid w:val="00621A45"/>
    <w:rsid w:val="00691128"/>
    <w:rsid w:val="006A0683"/>
    <w:rsid w:val="006C1C98"/>
    <w:rsid w:val="00716B96"/>
    <w:rsid w:val="007D5F38"/>
    <w:rsid w:val="00841417"/>
    <w:rsid w:val="008429D1"/>
    <w:rsid w:val="00885F3F"/>
    <w:rsid w:val="00920C04"/>
    <w:rsid w:val="00A43AB9"/>
    <w:rsid w:val="00A734EE"/>
    <w:rsid w:val="00A80BCB"/>
    <w:rsid w:val="00A812BF"/>
    <w:rsid w:val="00B066D1"/>
    <w:rsid w:val="00B100F7"/>
    <w:rsid w:val="00B126DF"/>
    <w:rsid w:val="00B16502"/>
    <w:rsid w:val="00BE24E8"/>
    <w:rsid w:val="00C03661"/>
    <w:rsid w:val="00C13F37"/>
    <w:rsid w:val="00C96A1F"/>
    <w:rsid w:val="00CC43C6"/>
    <w:rsid w:val="00D176DC"/>
    <w:rsid w:val="00D601B8"/>
    <w:rsid w:val="00D716A5"/>
    <w:rsid w:val="00D91551"/>
    <w:rsid w:val="00DB10DC"/>
    <w:rsid w:val="00DF3D97"/>
    <w:rsid w:val="00E036E0"/>
    <w:rsid w:val="00E15600"/>
    <w:rsid w:val="00EB4578"/>
    <w:rsid w:val="00ED5F1A"/>
    <w:rsid w:val="00EE4FF5"/>
    <w:rsid w:val="00F33129"/>
    <w:rsid w:val="00F37A34"/>
    <w:rsid w:val="00F86397"/>
    <w:rsid w:val="00F974F3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3FA9F"/>
  <w15:chartTrackingRefBased/>
  <w15:docId w15:val="{1603EC06-DF5E-4265-BBCE-4B4C189D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Helvetica" w:hAnsi="Helvetic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" w:hAnsi="Palatino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ind w:right="720"/>
      <w:outlineLvl w:val="3"/>
    </w:pPr>
    <w:rPr>
      <w:rFonts w:ascii="Arial" w:hAnsi="Arial"/>
      <w:lang w:val="en-GB"/>
    </w:rPr>
  </w:style>
  <w:style w:type="paragraph" w:styleId="Heading5">
    <w:name w:val="heading 5"/>
    <w:basedOn w:val="Normal"/>
    <w:next w:val="Normal"/>
    <w:qFormat/>
    <w:pPr>
      <w:keepNext/>
      <w:ind w:left="1440" w:hanging="1440"/>
      <w:outlineLvl w:val="4"/>
    </w:pPr>
    <w:rPr>
      <w:rFonts w:ascii="Times New Roman" w:hAnsi="Times New Roman"/>
      <w:b/>
      <w:lang w:val="en-GB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rFonts w:ascii="Times New Roman" w:hAnsi="Times New Roman"/>
      <w:b/>
      <w:lang w:val="en-GB"/>
    </w:rPr>
  </w:style>
  <w:style w:type="paragraph" w:styleId="Heading7">
    <w:name w:val="heading 7"/>
    <w:basedOn w:val="Normal"/>
    <w:next w:val="Normal"/>
    <w:qFormat/>
    <w:pPr>
      <w:keepNext/>
      <w:ind w:left="1620" w:hanging="1620"/>
      <w:outlineLvl w:val="6"/>
    </w:pPr>
    <w:rPr>
      <w:rFonts w:ascii="Times New Roman" w:hAnsi="Times New Roman"/>
      <w:b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2"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ouble5">
    <w:name w:val="Double 5"/>
    <w:basedOn w:val="Normal"/>
    <w:pPr>
      <w:spacing w:line="360" w:lineRule="atLeast"/>
      <w:ind w:left="720" w:right="1440"/>
    </w:p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jc w:val="left"/>
    </w:pPr>
    <w:rPr>
      <w:sz w:val="20"/>
    </w:rPr>
  </w:style>
  <w:style w:type="character" w:styleId="PageNumber">
    <w:name w:val="page number"/>
    <w:basedOn w:val="DefaultParagraphFont"/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480"/>
    </w:pPr>
  </w:style>
  <w:style w:type="paragraph" w:styleId="BodyText2">
    <w:name w:val="Body Text 2"/>
    <w:basedOn w:val="Normal"/>
    <w:pPr>
      <w:spacing w:after="120"/>
      <w:ind w:left="630"/>
    </w:pPr>
    <w:rPr>
      <w:rFonts w:ascii="Palatino" w:hAnsi="Palatino"/>
    </w:rPr>
  </w:style>
  <w:style w:type="paragraph" w:styleId="BlockText">
    <w:name w:val="Block Text"/>
    <w:basedOn w:val="Normal"/>
    <w:pPr>
      <w:ind w:left="720" w:right="720"/>
    </w:pPr>
    <w:rPr>
      <w:rFonts w:ascii="Palatino" w:hAnsi="Palatino"/>
      <w:sz w:val="20"/>
    </w:rPr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ind w:left="1440" w:hanging="1440"/>
    </w:pPr>
    <w:rPr>
      <w:rFonts w:ascii="Times New Roman" w:hAnsi="Times New Roman"/>
      <w:sz w:val="22"/>
      <w:lang w:val="en-GB"/>
    </w:rPr>
  </w:style>
  <w:style w:type="paragraph" w:styleId="BodyTextIndent2">
    <w:name w:val="Body Text Indent 2"/>
    <w:basedOn w:val="Normal"/>
    <w:pPr>
      <w:ind w:left="720" w:hanging="720"/>
    </w:pPr>
    <w:rPr>
      <w:rFonts w:ascii="Times New Roman" w:hAnsi="Times New Roman"/>
      <w:sz w:val="22"/>
      <w:lang w:val="en-GB"/>
    </w:rPr>
  </w:style>
  <w:style w:type="paragraph" w:styleId="BodyTextIndent3">
    <w:name w:val="Body Text Indent 3"/>
    <w:basedOn w:val="Normal"/>
    <w:pPr>
      <w:ind w:left="1620" w:hanging="1620"/>
    </w:pPr>
    <w:rPr>
      <w:rFonts w:ascii="Times New Roman" w:hAnsi="Times New Roman"/>
      <w:sz w:val="22"/>
      <w:lang w:val="en-GB"/>
    </w:rPr>
  </w:style>
  <w:style w:type="paragraph" w:styleId="BodyText3">
    <w:name w:val="Body Text 3"/>
    <w:basedOn w:val="Normal"/>
    <w:pPr>
      <w:jc w:val="left"/>
    </w:pPr>
    <w:rPr>
      <w:rFonts w:ascii="Arial" w:hAnsi="Arial"/>
      <w:color w:val="FF0000"/>
      <w:sz w:val="22"/>
    </w:rPr>
  </w:style>
  <w:style w:type="paragraph" w:customStyle="1" w:styleId="TextJustified">
    <w:name w:val="Text Justified"/>
    <w:basedOn w:val="Normal"/>
    <w:link w:val="TextJustifiedChar"/>
    <w:rsid w:val="00506A02"/>
    <w:pPr>
      <w:spacing w:after="240"/>
    </w:pPr>
    <w:rPr>
      <w:rFonts w:ascii="Calibri" w:hAnsi="Calibri"/>
      <w:sz w:val="22"/>
      <w:szCs w:val="24"/>
      <w:lang w:val="en-CA"/>
    </w:rPr>
  </w:style>
  <w:style w:type="character" w:customStyle="1" w:styleId="TextJustifiedChar">
    <w:name w:val="Text Justified Char"/>
    <w:link w:val="TextJustified"/>
    <w:locked/>
    <w:rsid w:val="00506A02"/>
    <w:rPr>
      <w:rFonts w:ascii="Calibri" w:hAnsi="Calibri"/>
      <w:sz w:val="22"/>
      <w:szCs w:val="24"/>
      <w:lang w:val="en-CA" w:eastAsia="en-US" w:bidi="ar-SA"/>
    </w:rPr>
  </w:style>
  <w:style w:type="paragraph" w:customStyle="1" w:styleId="TextCenter">
    <w:name w:val="Text Center"/>
    <w:basedOn w:val="Normal"/>
    <w:rsid w:val="00506A02"/>
    <w:pPr>
      <w:spacing w:after="240"/>
      <w:jc w:val="center"/>
    </w:pPr>
    <w:rPr>
      <w:rFonts w:ascii="Calibri" w:hAnsi="Calibri"/>
      <w:sz w:val="22"/>
      <w:szCs w:val="24"/>
      <w:lang w:val="en-CA"/>
    </w:rPr>
  </w:style>
  <w:style w:type="character" w:styleId="Hyperlink">
    <w:name w:val="Hyperlink"/>
    <w:rsid w:val="00506A02"/>
    <w:rPr>
      <w:rFonts w:cs="Times New Roman"/>
      <w:color w:val="0000FF"/>
      <w:u w:val="single"/>
    </w:rPr>
  </w:style>
  <w:style w:type="character" w:styleId="FollowedHyperlink">
    <w:name w:val="FollowedHyperlink"/>
    <w:rsid w:val="00D601B8"/>
    <w:rPr>
      <w:color w:val="800080"/>
      <w:u w:val="single"/>
    </w:rPr>
  </w:style>
  <w:style w:type="character" w:customStyle="1" w:styleId="Heading1Char">
    <w:name w:val="Heading 1 Char"/>
    <w:link w:val="Heading1"/>
    <w:rsid w:val="00A43AB9"/>
    <w:rPr>
      <w:rFonts w:ascii="Helvetica" w:hAnsi="Helvetica"/>
      <w:b/>
      <w:sz w:val="24"/>
      <w:lang w:val="en-GB" w:eastAsia="en-US"/>
    </w:rPr>
  </w:style>
  <w:style w:type="character" w:customStyle="1" w:styleId="FootnoteTextChar">
    <w:name w:val="Footnote Text Char"/>
    <w:link w:val="FootnoteText"/>
    <w:semiHidden/>
    <w:rsid w:val="00A43AB9"/>
    <w:rPr>
      <w:rFonts w:ascii="Helvetica" w:hAnsi="Helvetica"/>
      <w:lang w:val="en-US" w:eastAsia="en-US"/>
    </w:rPr>
  </w:style>
  <w:style w:type="paragraph" w:styleId="Revision">
    <w:name w:val="Revision"/>
    <w:hidden/>
    <w:uiPriority w:val="99"/>
    <w:semiHidden/>
    <w:rsid w:val="001F7C30"/>
    <w:rPr>
      <w:rFonts w:ascii="Helvetica" w:hAnsi="Helvetica"/>
      <w:sz w:val="24"/>
      <w:lang w:val="en-US" w:eastAsia="en-US"/>
    </w:rPr>
  </w:style>
  <w:style w:type="character" w:styleId="CommentReference">
    <w:name w:val="annotation reference"/>
    <w:basedOn w:val="DefaultParagraphFont"/>
    <w:rsid w:val="006A06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06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0683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0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0683"/>
    <w:rPr>
      <w:rFonts w:ascii="Helvetica" w:hAnsi="Helvetic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ddeer.ca/city-services/electric-light-and-power/understanding-your-electricity-bill-and-meter/delivery-rates-and-char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Utility Bylaw 3273/2000 Schedule 'F' Default Supplier Rate</vt:lpstr>
    </vt:vector>
  </TitlesOfParts>
  <Company>City of Red Deer</Company>
  <LinksUpToDate>false</LinksUpToDate>
  <CharactersWithSpaces>749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https://assets.enmax.com/api/public/content/6cfd05aaeda34915884b5e908d73fc74?v=654f20bb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http://www.reddeer.ca/city-services/electric-light-and-power/understanding-your-electricity-bill-and-meter/tariff-schedules/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Utility Bylaw 3273/2000 Schedule 'F' Default Supplier Rate</dc:title>
  <dc:subject>Electric Utility Bylaw Schedule 'F' Default Supplier Rate</dc:subject>
  <dc:creator>LGS</dc:creator>
  <cp:keywords/>
  <dc:description/>
  <cp:lastModifiedBy>Natasha Wirtanen</cp:lastModifiedBy>
  <cp:revision>4</cp:revision>
  <cp:lastPrinted>2006-04-12T19:25:00Z</cp:lastPrinted>
  <dcterms:created xsi:type="dcterms:W3CDTF">2025-01-20T16:51:00Z</dcterms:created>
  <dcterms:modified xsi:type="dcterms:W3CDTF">2025-01-20T18:56:00Z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